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Default="00EF44CE" w:rsidP="00EF4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EE6BAD" w:rsidRPr="006205DE">
        <w:rPr>
          <w:b/>
          <w:sz w:val="32"/>
          <w:szCs w:val="32"/>
        </w:rPr>
        <w:t xml:space="preserve"> </w:t>
      </w:r>
      <w:r w:rsidR="000401A7">
        <w:rPr>
          <w:b/>
          <w:sz w:val="32"/>
          <w:szCs w:val="32"/>
        </w:rPr>
        <w:t>020</w:t>
      </w:r>
      <w:r w:rsidR="00EE6BAD" w:rsidRPr="006205DE">
        <w:rPr>
          <w:b/>
          <w:sz w:val="32"/>
          <w:szCs w:val="32"/>
        </w:rPr>
        <w:t>/</w:t>
      </w:r>
      <w:r w:rsidR="006205DE">
        <w:rPr>
          <w:b/>
          <w:sz w:val="32"/>
          <w:szCs w:val="32"/>
        </w:rPr>
        <w:t>ТВРЗ/ЭГ</w:t>
      </w:r>
      <w:r w:rsidR="00EE6BAD">
        <w:rPr>
          <w:b/>
          <w:sz w:val="32"/>
          <w:szCs w:val="32"/>
        </w:rPr>
        <w:t xml:space="preserve"> 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916FA4">
        <w:rPr>
          <w:b/>
          <w:sz w:val="32"/>
          <w:szCs w:val="32"/>
        </w:rPr>
        <w:t>открытом</w:t>
      </w:r>
      <w:r>
        <w:rPr>
          <w:b/>
          <w:sz w:val="32"/>
          <w:szCs w:val="32"/>
        </w:rPr>
        <w:t xml:space="preserve"> конкурсе</w:t>
      </w:r>
      <w:r w:rsidR="00815B54">
        <w:rPr>
          <w:b/>
          <w:sz w:val="32"/>
          <w:szCs w:val="32"/>
        </w:rPr>
        <w:t xml:space="preserve">                      </w:t>
      </w:r>
      <w:r w:rsidR="00815B54" w:rsidRPr="00815B54">
        <w:rPr>
          <w:rFonts w:eastAsia="MS Mincho"/>
          <w:b/>
          <w:sz w:val="32"/>
          <w:szCs w:val="32"/>
        </w:rPr>
        <w:t xml:space="preserve">№ </w:t>
      </w:r>
      <w:r w:rsidR="000401A7">
        <w:rPr>
          <w:rFonts w:eastAsia="MS Mincho"/>
          <w:b/>
          <w:sz w:val="32"/>
          <w:szCs w:val="32"/>
        </w:rPr>
        <w:t>020</w:t>
      </w:r>
      <w:r w:rsidR="00815B54" w:rsidRPr="00815B54">
        <w:rPr>
          <w:rFonts w:eastAsia="MS Mincho"/>
          <w:b/>
          <w:sz w:val="32"/>
          <w:szCs w:val="32"/>
        </w:rPr>
        <w:t>/</w:t>
      </w:r>
      <w:r w:rsidR="00916FA4">
        <w:rPr>
          <w:rFonts w:eastAsia="MS Mincho"/>
          <w:b/>
          <w:sz w:val="32"/>
          <w:szCs w:val="32"/>
        </w:rPr>
        <w:t>ТВРЗ/2016</w:t>
      </w: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916FA4">
        <w:rPr>
          <w:sz w:val="28"/>
          <w:szCs w:val="28"/>
        </w:rPr>
        <w:t>Тамбов</w:t>
      </w:r>
      <w:r>
        <w:rPr>
          <w:sz w:val="28"/>
          <w:szCs w:val="28"/>
        </w:rPr>
        <w:t xml:space="preserve">                                                                      «</w:t>
      </w:r>
      <w:r w:rsidR="0094494E">
        <w:rPr>
          <w:sz w:val="28"/>
          <w:szCs w:val="28"/>
        </w:rPr>
        <w:t>12</w:t>
      </w:r>
      <w:r>
        <w:rPr>
          <w:sz w:val="28"/>
          <w:szCs w:val="28"/>
        </w:rPr>
        <w:t xml:space="preserve"> »</w:t>
      </w:r>
      <w:r w:rsidR="00EB7597">
        <w:rPr>
          <w:sz w:val="28"/>
          <w:szCs w:val="28"/>
        </w:rPr>
        <w:t xml:space="preserve"> </w:t>
      </w:r>
      <w:r w:rsidR="00916FA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916FA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44CE" w:rsidRDefault="00EF44CE" w:rsidP="00EF44CE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EB7597" w:rsidRDefault="00916FA4" w:rsidP="0089295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F5E76">
        <w:rPr>
          <w:sz w:val="28"/>
          <w:szCs w:val="28"/>
        </w:rPr>
        <w:t xml:space="preserve"> </w:t>
      </w:r>
      <w:r w:rsidR="00EB7597">
        <w:rPr>
          <w:sz w:val="28"/>
          <w:szCs w:val="28"/>
        </w:rPr>
        <w:t>экспертной группы</w:t>
      </w:r>
      <w:r w:rsidR="002F5E76">
        <w:rPr>
          <w:sz w:val="28"/>
          <w:szCs w:val="28"/>
        </w:rPr>
        <w:t>:</w:t>
      </w:r>
    </w:p>
    <w:p w:rsidR="00916FA4" w:rsidRDefault="00916FA4" w:rsidP="0089295D">
      <w:pPr>
        <w:rPr>
          <w:sz w:val="28"/>
          <w:szCs w:val="28"/>
        </w:rPr>
      </w:pPr>
    </w:p>
    <w:p w:rsidR="00916FA4" w:rsidRDefault="00916FA4" w:rsidP="0089295D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</w:t>
      </w:r>
      <w:r w:rsidR="002F5E76">
        <w:rPr>
          <w:sz w:val="28"/>
          <w:szCs w:val="28"/>
        </w:rPr>
        <w:t>:</w:t>
      </w:r>
    </w:p>
    <w:p w:rsidR="00EF44CE" w:rsidRDefault="00EF44CE" w:rsidP="00916FA4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230AD5" w:rsidRDefault="00230AD5" w:rsidP="00EF44CE">
      <w:pPr>
        <w:jc w:val="both"/>
        <w:rPr>
          <w:sz w:val="28"/>
          <w:szCs w:val="28"/>
        </w:rPr>
      </w:pPr>
    </w:p>
    <w:p w:rsidR="00916FA4" w:rsidRDefault="00916FA4" w:rsidP="00EF44CE">
      <w:pPr>
        <w:jc w:val="both"/>
        <w:rPr>
          <w:sz w:val="28"/>
          <w:szCs w:val="28"/>
        </w:rPr>
      </w:pPr>
    </w:p>
    <w:p w:rsidR="00485EC9" w:rsidRDefault="00485EC9" w:rsidP="00EF44CE">
      <w:pPr>
        <w:jc w:val="both"/>
        <w:rPr>
          <w:sz w:val="28"/>
          <w:szCs w:val="28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3D7F8C" w:rsidRDefault="00EF44CE" w:rsidP="003D7F8C">
      <w:pPr>
        <w:ind w:firstLine="426"/>
        <w:jc w:val="both"/>
        <w:rPr>
          <w:sz w:val="28"/>
          <w:szCs w:val="28"/>
        </w:rPr>
      </w:pPr>
      <w:r w:rsidRPr="003D7F8C">
        <w:rPr>
          <w:sz w:val="28"/>
          <w:szCs w:val="28"/>
        </w:rPr>
        <w:t>1. Рассмотрение конкурсных</w:t>
      </w:r>
      <w:r w:rsidRPr="003D7F8C">
        <w:rPr>
          <w:b/>
          <w:i/>
          <w:sz w:val="28"/>
          <w:szCs w:val="28"/>
        </w:rPr>
        <w:t xml:space="preserve"> </w:t>
      </w:r>
      <w:r w:rsidRPr="003D7F8C">
        <w:rPr>
          <w:sz w:val="28"/>
          <w:szCs w:val="28"/>
        </w:rPr>
        <w:t xml:space="preserve">заявок, представленных для участия в  </w:t>
      </w:r>
      <w:r w:rsidR="00916FA4" w:rsidRPr="003D7F8C">
        <w:rPr>
          <w:sz w:val="28"/>
          <w:szCs w:val="28"/>
        </w:rPr>
        <w:t>открытом конкурсе</w:t>
      </w:r>
      <w:r w:rsidRPr="003D7F8C">
        <w:rPr>
          <w:sz w:val="28"/>
          <w:szCs w:val="28"/>
        </w:rPr>
        <w:t xml:space="preserve"> </w:t>
      </w:r>
      <w:r w:rsidR="000A2AAC" w:rsidRPr="003D7F8C">
        <w:rPr>
          <w:sz w:val="28"/>
          <w:szCs w:val="28"/>
        </w:rPr>
        <w:t xml:space="preserve">№ </w:t>
      </w:r>
      <w:r w:rsidR="000401A7" w:rsidRPr="003D7F8C">
        <w:rPr>
          <w:sz w:val="28"/>
          <w:szCs w:val="28"/>
        </w:rPr>
        <w:t>020</w:t>
      </w:r>
      <w:r w:rsidR="000A2AAC" w:rsidRPr="003D7F8C">
        <w:rPr>
          <w:rFonts w:eastAsia="MS Mincho"/>
          <w:sz w:val="28"/>
          <w:szCs w:val="28"/>
        </w:rPr>
        <w:t>/</w:t>
      </w:r>
      <w:r w:rsidR="00916FA4" w:rsidRPr="003D7F8C">
        <w:rPr>
          <w:rFonts w:eastAsia="MS Mincho"/>
          <w:sz w:val="28"/>
          <w:szCs w:val="28"/>
        </w:rPr>
        <w:t>Т</w:t>
      </w:r>
      <w:r w:rsidR="000A2AAC" w:rsidRPr="003D7F8C">
        <w:rPr>
          <w:rFonts w:eastAsia="MS Mincho"/>
          <w:sz w:val="28"/>
          <w:szCs w:val="28"/>
        </w:rPr>
        <w:t>ВР</w:t>
      </w:r>
      <w:r w:rsidR="00916FA4" w:rsidRPr="003D7F8C">
        <w:rPr>
          <w:rFonts w:eastAsia="MS Mincho"/>
          <w:sz w:val="28"/>
          <w:szCs w:val="28"/>
        </w:rPr>
        <w:t>З</w:t>
      </w:r>
      <w:r w:rsidR="000A2AAC" w:rsidRPr="003D7F8C">
        <w:rPr>
          <w:rFonts w:eastAsia="MS Mincho"/>
          <w:sz w:val="28"/>
          <w:szCs w:val="28"/>
        </w:rPr>
        <w:t>/201</w:t>
      </w:r>
      <w:r w:rsidR="00916FA4" w:rsidRPr="003D7F8C">
        <w:rPr>
          <w:rFonts w:eastAsia="MS Mincho"/>
          <w:sz w:val="28"/>
          <w:szCs w:val="28"/>
        </w:rPr>
        <w:t>6</w:t>
      </w:r>
      <w:r w:rsidR="000A2AAC" w:rsidRPr="003D7F8C">
        <w:rPr>
          <w:rFonts w:eastAsia="MS Mincho"/>
          <w:sz w:val="28"/>
          <w:szCs w:val="28"/>
        </w:rPr>
        <w:t xml:space="preserve"> </w:t>
      </w:r>
      <w:r w:rsidR="000A2AAC" w:rsidRPr="003D7F8C">
        <w:rPr>
          <w:sz w:val="28"/>
          <w:szCs w:val="28"/>
        </w:rPr>
        <w:t xml:space="preserve">на право заключения договора на </w:t>
      </w:r>
      <w:r w:rsidR="00916FA4" w:rsidRPr="003D7F8C">
        <w:rPr>
          <w:sz w:val="28"/>
          <w:szCs w:val="28"/>
        </w:rPr>
        <w:t>выполнение</w:t>
      </w:r>
      <w:r w:rsidR="000401A7" w:rsidRPr="003D7F8C">
        <w:rPr>
          <w:sz w:val="28"/>
          <w:szCs w:val="28"/>
        </w:rPr>
        <w:t xml:space="preserve"> работ по</w:t>
      </w:r>
      <w:r w:rsidR="000401A7" w:rsidRPr="005A1A06">
        <w:rPr>
          <w:sz w:val="28"/>
          <w:szCs w:val="28"/>
        </w:rPr>
        <w:t xml:space="preserve"> капитальному ремонту</w:t>
      </w:r>
      <w:r w:rsidR="000401A7">
        <w:rPr>
          <w:sz w:val="28"/>
          <w:szCs w:val="28"/>
        </w:rPr>
        <w:t xml:space="preserve"> трассы трубопроводов (замена теплотрассы участками) инв. №46201 </w:t>
      </w:r>
      <w:r w:rsidR="000401A7" w:rsidRPr="005A1A06">
        <w:rPr>
          <w:sz w:val="28"/>
          <w:szCs w:val="28"/>
        </w:rPr>
        <w:t xml:space="preserve">на территории Тамбовского ВРЗ </w:t>
      </w:r>
      <w:proofErr w:type="gramStart"/>
      <w:r w:rsidR="000401A7" w:rsidRPr="005A1A06">
        <w:rPr>
          <w:sz w:val="28"/>
          <w:szCs w:val="28"/>
        </w:rPr>
        <w:t>–А</w:t>
      </w:r>
      <w:proofErr w:type="gramEnd"/>
      <w:r w:rsidR="000401A7" w:rsidRPr="005A1A06">
        <w:rPr>
          <w:sz w:val="28"/>
          <w:szCs w:val="28"/>
        </w:rPr>
        <w:t>О «ВРМ» в 2016 г.</w:t>
      </w:r>
    </w:p>
    <w:p w:rsidR="003D7F8C" w:rsidRDefault="00EF44CE" w:rsidP="003D7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</w:t>
      </w:r>
      <w:r w:rsidR="00916FA4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</w:t>
      </w:r>
      <w:r w:rsidRPr="00635D54">
        <w:rPr>
          <w:sz w:val="28"/>
          <w:szCs w:val="28"/>
        </w:rPr>
        <w:t xml:space="preserve">№ </w:t>
      </w:r>
      <w:r w:rsidR="003D7F8C">
        <w:rPr>
          <w:rFonts w:eastAsia="MS Mincho"/>
          <w:sz w:val="28"/>
          <w:szCs w:val="28"/>
        </w:rPr>
        <w:t>020</w:t>
      </w:r>
      <w:r w:rsidR="00635D54" w:rsidRPr="00635D54">
        <w:rPr>
          <w:rFonts w:eastAsia="MS Mincho"/>
          <w:sz w:val="28"/>
          <w:szCs w:val="28"/>
        </w:rPr>
        <w:t>/</w:t>
      </w:r>
      <w:r w:rsidR="00916FA4">
        <w:rPr>
          <w:rFonts w:eastAsia="MS Mincho"/>
          <w:sz w:val="28"/>
          <w:szCs w:val="28"/>
        </w:rPr>
        <w:t>Т</w:t>
      </w:r>
      <w:r w:rsidR="00635D54" w:rsidRPr="00635D54">
        <w:rPr>
          <w:rFonts w:eastAsia="MS Mincho"/>
          <w:sz w:val="28"/>
          <w:szCs w:val="28"/>
        </w:rPr>
        <w:t>ВР</w:t>
      </w:r>
      <w:r w:rsidR="00916FA4">
        <w:rPr>
          <w:rFonts w:eastAsia="MS Mincho"/>
          <w:sz w:val="28"/>
          <w:szCs w:val="28"/>
        </w:rPr>
        <w:t>З</w:t>
      </w:r>
      <w:r w:rsidR="00635D54" w:rsidRPr="00635D54">
        <w:rPr>
          <w:rFonts w:eastAsia="MS Mincho"/>
          <w:sz w:val="28"/>
          <w:szCs w:val="28"/>
        </w:rPr>
        <w:t>/201</w:t>
      </w:r>
      <w:r w:rsidR="00916FA4">
        <w:rPr>
          <w:rFonts w:eastAsia="MS Mincho"/>
          <w:sz w:val="28"/>
          <w:szCs w:val="28"/>
        </w:rPr>
        <w:t>6</w:t>
      </w:r>
      <w:r w:rsidRPr="00635D54">
        <w:rPr>
          <w:color w:val="000000"/>
          <w:sz w:val="28"/>
          <w:szCs w:val="28"/>
        </w:rPr>
        <w:t>.</w:t>
      </w:r>
    </w:p>
    <w:p w:rsidR="00EF44CE" w:rsidRPr="00635D54" w:rsidRDefault="00EF44CE" w:rsidP="003D7F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предложений в Конкурсную комиссию</w:t>
      </w:r>
      <w:r w:rsidR="00916FA4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 по итогам </w:t>
      </w:r>
      <w:r w:rsidR="001A7FD6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№ </w:t>
      </w:r>
      <w:r w:rsidR="003D7F8C">
        <w:rPr>
          <w:rFonts w:eastAsia="MS Mincho"/>
          <w:sz w:val="28"/>
          <w:szCs w:val="28"/>
        </w:rPr>
        <w:t>020</w:t>
      </w:r>
      <w:r w:rsidR="00635D54" w:rsidRPr="00635D54">
        <w:rPr>
          <w:rFonts w:eastAsia="MS Mincho"/>
          <w:sz w:val="28"/>
          <w:szCs w:val="28"/>
        </w:rPr>
        <w:t>/</w:t>
      </w:r>
      <w:r w:rsidR="00916FA4">
        <w:rPr>
          <w:rFonts w:eastAsia="MS Mincho"/>
          <w:sz w:val="28"/>
          <w:szCs w:val="28"/>
        </w:rPr>
        <w:t>Т</w:t>
      </w:r>
      <w:r w:rsidR="00635D54" w:rsidRPr="00635D54">
        <w:rPr>
          <w:rFonts w:eastAsia="MS Mincho"/>
          <w:sz w:val="28"/>
          <w:szCs w:val="28"/>
        </w:rPr>
        <w:t>ВР</w:t>
      </w:r>
      <w:r w:rsidR="00916FA4">
        <w:rPr>
          <w:rFonts w:eastAsia="MS Mincho"/>
          <w:sz w:val="28"/>
          <w:szCs w:val="28"/>
        </w:rPr>
        <w:t>З</w:t>
      </w:r>
      <w:r w:rsidR="00635D54" w:rsidRPr="00635D54">
        <w:rPr>
          <w:rFonts w:eastAsia="MS Mincho"/>
          <w:sz w:val="28"/>
          <w:szCs w:val="28"/>
        </w:rPr>
        <w:t>/201</w:t>
      </w:r>
      <w:r w:rsidR="00916FA4">
        <w:rPr>
          <w:rFonts w:eastAsia="MS Mincho"/>
          <w:sz w:val="28"/>
          <w:szCs w:val="28"/>
        </w:rPr>
        <w:t>6</w:t>
      </w:r>
      <w:r w:rsidRPr="00635D54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C63E01" w:rsidRPr="00C63E01" w:rsidRDefault="00C63E01" w:rsidP="00C63E01"/>
    <w:p w:rsidR="00EF44CE" w:rsidRDefault="004F09A0" w:rsidP="002F5E7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ВРЗ </w:t>
      </w:r>
      <w:r w:rsidR="00EF44CE">
        <w:rPr>
          <w:sz w:val="28"/>
          <w:szCs w:val="28"/>
        </w:rPr>
        <w:t xml:space="preserve">АО «ВРМ» проведен </w:t>
      </w:r>
      <w:r>
        <w:rPr>
          <w:sz w:val="28"/>
          <w:szCs w:val="28"/>
        </w:rPr>
        <w:t>открытый</w:t>
      </w:r>
      <w:r w:rsidR="00EF44CE">
        <w:rPr>
          <w:sz w:val="28"/>
          <w:szCs w:val="28"/>
        </w:rPr>
        <w:t xml:space="preserve"> конкурс</w:t>
      </w:r>
      <w:r w:rsidR="00EF44CE">
        <w:rPr>
          <w:b/>
          <w:i/>
          <w:sz w:val="28"/>
          <w:szCs w:val="28"/>
        </w:rPr>
        <w:t xml:space="preserve"> </w:t>
      </w:r>
      <w:r w:rsidR="00EF44CE">
        <w:rPr>
          <w:sz w:val="28"/>
          <w:szCs w:val="28"/>
        </w:rPr>
        <w:t>№</w:t>
      </w:r>
      <w:r w:rsidR="00A13030">
        <w:rPr>
          <w:sz w:val="28"/>
          <w:szCs w:val="28"/>
        </w:rPr>
        <w:t xml:space="preserve"> </w:t>
      </w:r>
      <w:r w:rsidR="003D7F8C">
        <w:rPr>
          <w:rFonts w:eastAsia="MS Mincho"/>
          <w:sz w:val="28"/>
          <w:szCs w:val="28"/>
        </w:rPr>
        <w:t>020</w:t>
      </w:r>
      <w:r w:rsidR="00A13030"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="00A13030"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="00A13030"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="00EF44CE">
        <w:rPr>
          <w:sz w:val="28"/>
          <w:szCs w:val="28"/>
        </w:rPr>
        <w:t>.</w:t>
      </w:r>
    </w:p>
    <w:p w:rsidR="0093203E" w:rsidRDefault="00EF44CE" w:rsidP="002F5E76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</w:t>
      </w:r>
      <w:r w:rsidR="0093203E">
        <w:rPr>
          <w:szCs w:val="28"/>
        </w:rPr>
        <w:t xml:space="preserve"> </w:t>
      </w:r>
      <w:r w:rsidR="0093203E" w:rsidRPr="006F2931">
        <w:rPr>
          <w:szCs w:val="28"/>
        </w:rPr>
        <w:t>представлены заявки следующих претендентов:</w:t>
      </w:r>
    </w:p>
    <w:p w:rsidR="0093203E" w:rsidRPr="009406FD" w:rsidRDefault="0093203E" w:rsidP="002F5E76">
      <w:pPr>
        <w:ind w:firstLine="567"/>
        <w:outlineLvl w:val="0"/>
        <w:rPr>
          <w:sz w:val="28"/>
          <w:szCs w:val="28"/>
        </w:rPr>
      </w:pPr>
      <w:r w:rsidRPr="009406FD">
        <w:rPr>
          <w:sz w:val="28"/>
          <w:szCs w:val="28"/>
        </w:rPr>
        <w:t xml:space="preserve">- </w:t>
      </w:r>
      <w:r w:rsidRPr="003D7F8C">
        <w:rPr>
          <w:sz w:val="28"/>
          <w:szCs w:val="28"/>
        </w:rPr>
        <w:t>ООО «</w:t>
      </w:r>
      <w:proofErr w:type="spellStart"/>
      <w:r w:rsidR="004F09A0" w:rsidRPr="003D7F8C">
        <w:rPr>
          <w:sz w:val="28"/>
          <w:szCs w:val="28"/>
        </w:rPr>
        <w:t>Энергетик-Б</w:t>
      </w:r>
      <w:proofErr w:type="spellEnd"/>
      <w:r w:rsidRPr="003D7F8C">
        <w:rPr>
          <w:sz w:val="28"/>
          <w:szCs w:val="28"/>
        </w:rPr>
        <w:t>»</w:t>
      </w:r>
    </w:p>
    <w:p w:rsidR="0093203E" w:rsidRDefault="0093203E" w:rsidP="002F5E76">
      <w:pPr>
        <w:pStyle w:val="a7"/>
        <w:ind w:left="0" w:firstLine="567"/>
        <w:outlineLvl w:val="2"/>
        <w:rPr>
          <w:sz w:val="28"/>
          <w:szCs w:val="28"/>
        </w:rPr>
      </w:pPr>
      <w:r w:rsidRPr="009406FD">
        <w:rPr>
          <w:sz w:val="28"/>
          <w:szCs w:val="28"/>
        </w:rPr>
        <w:t>- О</w:t>
      </w:r>
      <w:r>
        <w:rPr>
          <w:sz w:val="28"/>
          <w:szCs w:val="28"/>
        </w:rPr>
        <w:t>О</w:t>
      </w:r>
      <w:r w:rsidRPr="009406FD">
        <w:rPr>
          <w:sz w:val="28"/>
          <w:szCs w:val="28"/>
        </w:rPr>
        <w:t>О «</w:t>
      </w:r>
      <w:proofErr w:type="spellStart"/>
      <w:proofErr w:type="gramStart"/>
      <w:r w:rsidR="004F09A0">
        <w:rPr>
          <w:sz w:val="28"/>
          <w:szCs w:val="28"/>
        </w:rPr>
        <w:t>Инком-Торг</w:t>
      </w:r>
      <w:proofErr w:type="spellEnd"/>
      <w:proofErr w:type="gramEnd"/>
      <w:r w:rsidRPr="009406FD">
        <w:rPr>
          <w:sz w:val="28"/>
          <w:szCs w:val="28"/>
        </w:rPr>
        <w:t>»</w:t>
      </w:r>
    </w:p>
    <w:p w:rsidR="0093203E" w:rsidRPr="009406FD" w:rsidRDefault="0093203E" w:rsidP="002F5E76">
      <w:pPr>
        <w:ind w:firstLine="567"/>
        <w:outlineLvl w:val="0"/>
        <w:rPr>
          <w:sz w:val="28"/>
          <w:szCs w:val="28"/>
        </w:rPr>
      </w:pPr>
      <w:r w:rsidRPr="009406FD">
        <w:rPr>
          <w:sz w:val="28"/>
          <w:szCs w:val="28"/>
        </w:rPr>
        <w:t>- ООО «</w:t>
      </w:r>
      <w:r w:rsidR="003D7F8C">
        <w:rPr>
          <w:sz w:val="28"/>
          <w:szCs w:val="28"/>
        </w:rPr>
        <w:t>ТАГАТ Автоматика</w:t>
      </w:r>
      <w:r w:rsidRPr="009406FD">
        <w:rPr>
          <w:sz w:val="28"/>
          <w:szCs w:val="28"/>
        </w:rPr>
        <w:t>»</w:t>
      </w:r>
    </w:p>
    <w:p w:rsidR="00D214F4" w:rsidRDefault="00EF44CE" w:rsidP="002F5E7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представленных заявок для участия в </w:t>
      </w:r>
      <w:r w:rsidR="004F09A0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конкурсе № </w:t>
      </w:r>
      <w:r w:rsidR="003D7F8C">
        <w:rPr>
          <w:sz w:val="28"/>
          <w:szCs w:val="28"/>
        </w:rPr>
        <w:t>020</w:t>
      </w:r>
      <w:r w:rsidR="00D214F4" w:rsidRPr="00A13030">
        <w:rPr>
          <w:rFonts w:eastAsia="MS Mincho"/>
          <w:sz w:val="28"/>
          <w:szCs w:val="28"/>
        </w:rPr>
        <w:t>/</w:t>
      </w:r>
      <w:r w:rsidR="004F09A0">
        <w:rPr>
          <w:rFonts w:eastAsia="MS Mincho"/>
          <w:sz w:val="28"/>
          <w:szCs w:val="28"/>
        </w:rPr>
        <w:t>Т</w:t>
      </w:r>
      <w:r w:rsidR="00D214F4" w:rsidRPr="00A13030">
        <w:rPr>
          <w:rFonts w:eastAsia="MS Mincho"/>
          <w:sz w:val="28"/>
          <w:szCs w:val="28"/>
        </w:rPr>
        <w:t>ВР</w:t>
      </w:r>
      <w:r w:rsidR="004F09A0">
        <w:rPr>
          <w:rFonts w:eastAsia="MS Mincho"/>
          <w:sz w:val="28"/>
          <w:szCs w:val="28"/>
        </w:rPr>
        <w:t>З</w:t>
      </w:r>
      <w:r w:rsidR="00D214F4" w:rsidRPr="00A13030">
        <w:rPr>
          <w:rFonts w:eastAsia="MS Mincho"/>
          <w:sz w:val="28"/>
          <w:szCs w:val="28"/>
        </w:rPr>
        <w:t>/201</w:t>
      </w:r>
      <w:r w:rsidR="004F09A0">
        <w:rPr>
          <w:rFonts w:eastAsia="MS Mincho"/>
          <w:sz w:val="28"/>
          <w:szCs w:val="28"/>
        </w:rPr>
        <w:t>6</w:t>
      </w:r>
      <w:r w:rsidR="00D214F4">
        <w:rPr>
          <w:rFonts w:eastAsia="MS Mincho"/>
          <w:sz w:val="28"/>
          <w:szCs w:val="28"/>
        </w:rPr>
        <w:t>:</w:t>
      </w:r>
    </w:p>
    <w:p w:rsidR="00157E98" w:rsidRDefault="00EF44CE" w:rsidP="002F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66E">
        <w:rPr>
          <w:sz w:val="28"/>
          <w:szCs w:val="28"/>
        </w:rPr>
        <w:t>д</w:t>
      </w:r>
      <w:r>
        <w:rPr>
          <w:sz w:val="28"/>
          <w:szCs w:val="28"/>
        </w:rPr>
        <w:t xml:space="preserve">опускаются и признаются участниками </w:t>
      </w:r>
      <w:r w:rsidR="00E85BEB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</w:t>
      </w:r>
      <w:r w:rsidR="00D214F4">
        <w:rPr>
          <w:sz w:val="28"/>
          <w:szCs w:val="28"/>
        </w:rPr>
        <w:t xml:space="preserve">№ </w:t>
      </w:r>
      <w:r w:rsidR="003D7F8C">
        <w:rPr>
          <w:rFonts w:eastAsia="MS Mincho"/>
          <w:sz w:val="28"/>
          <w:szCs w:val="28"/>
        </w:rPr>
        <w:t>020</w:t>
      </w:r>
      <w:r w:rsidR="00D214F4" w:rsidRPr="00A13030">
        <w:rPr>
          <w:rFonts w:eastAsia="MS Mincho"/>
          <w:sz w:val="28"/>
          <w:szCs w:val="28"/>
        </w:rPr>
        <w:t>/</w:t>
      </w:r>
      <w:r w:rsidR="004F09A0">
        <w:rPr>
          <w:rFonts w:eastAsia="MS Mincho"/>
          <w:sz w:val="28"/>
          <w:szCs w:val="28"/>
        </w:rPr>
        <w:t>Т</w:t>
      </w:r>
      <w:r w:rsidR="00D214F4" w:rsidRPr="00A13030">
        <w:rPr>
          <w:rFonts w:eastAsia="MS Mincho"/>
          <w:sz w:val="28"/>
          <w:szCs w:val="28"/>
        </w:rPr>
        <w:t>ВР</w:t>
      </w:r>
      <w:r w:rsidR="004F09A0">
        <w:rPr>
          <w:rFonts w:eastAsia="MS Mincho"/>
          <w:sz w:val="28"/>
          <w:szCs w:val="28"/>
        </w:rPr>
        <w:t>З</w:t>
      </w:r>
      <w:r w:rsidR="00D214F4" w:rsidRPr="00A13030">
        <w:rPr>
          <w:rFonts w:eastAsia="MS Mincho"/>
          <w:sz w:val="28"/>
          <w:szCs w:val="28"/>
        </w:rPr>
        <w:t>/201</w:t>
      </w:r>
      <w:r w:rsidR="004F09A0">
        <w:rPr>
          <w:rFonts w:eastAsia="MS Mincho"/>
          <w:sz w:val="28"/>
          <w:szCs w:val="28"/>
        </w:rPr>
        <w:t>6</w:t>
      </w:r>
      <w:r w:rsidR="0055266E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="0055266E">
        <w:rPr>
          <w:sz w:val="28"/>
          <w:szCs w:val="28"/>
        </w:rPr>
        <w:t>е</w:t>
      </w:r>
      <w:r>
        <w:rPr>
          <w:sz w:val="28"/>
          <w:szCs w:val="28"/>
        </w:rPr>
        <w:t xml:space="preserve"> претенденты:</w:t>
      </w:r>
    </w:p>
    <w:p w:rsidR="004F09A0" w:rsidRDefault="004F09A0" w:rsidP="002F5E76">
      <w:pPr>
        <w:pStyle w:val="a7"/>
        <w:ind w:left="0" w:firstLine="567"/>
        <w:outlineLvl w:val="2"/>
        <w:rPr>
          <w:sz w:val="28"/>
          <w:szCs w:val="28"/>
        </w:rPr>
      </w:pPr>
      <w:r w:rsidRPr="009406FD">
        <w:rPr>
          <w:sz w:val="28"/>
          <w:szCs w:val="28"/>
        </w:rPr>
        <w:t>- О</w:t>
      </w:r>
      <w:r>
        <w:rPr>
          <w:sz w:val="28"/>
          <w:szCs w:val="28"/>
        </w:rPr>
        <w:t>О</w:t>
      </w:r>
      <w:r w:rsidRPr="009406FD">
        <w:rPr>
          <w:sz w:val="28"/>
          <w:szCs w:val="28"/>
        </w:rPr>
        <w:t>О «</w:t>
      </w:r>
      <w:proofErr w:type="spellStart"/>
      <w:proofErr w:type="gramStart"/>
      <w:r>
        <w:rPr>
          <w:sz w:val="28"/>
          <w:szCs w:val="28"/>
        </w:rPr>
        <w:t>Инком-Торг</w:t>
      </w:r>
      <w:proofErr w:type="spellEnd"/>
      <w:proofErr w:type="gramEnd"/>
      <w:r w:rsidRPr="009406FD">
        <w:rPr>
          <w:sz w:val="28"/>
          <w:szCs w:val="28"/>
        </w:rPr>
        <w:t>»</w:t>
      </w:r>
    </w:p>
    <w:p w:rsidR="004F09A0" w:rsidRPr="009406FD" w:rsidRDefault="004F09A0" w:rsidP="002F5E76">
      <w:pPr>
        <w:ind w:firstLine="567"/>
        <w:outlineLvl w:val="0"/>
        <w:rPr>
          <w:sz w:val="28"/>
          <w:szCs w:val="28"/>
        </w:rPr>
      </w:pPr>
      <w:r w:rsidRPr="009406FD">
        <w:rPr>
          <w:sz w:val="28"/>
          <w:szCs w:val="28"/>
        </w:rPr>
        <w:t>- ООО «</w:t>
      </w:r>
      <w:r w:rsidR="00D2095A">
        <w:rPr>
          <w:sz w:val="28"/>
          <w:szCs w:val="28"/>
        </w:rPr>
        <w:t>ТАГАТ Автоматика</w:t>
      </w:r>
      <w:r w:rsidRPr="009406FD">
        <w:rPr>
          <w:sz w:val="28"/>
          <w:szCs w:val="28"/>
        </w:rPr>
        <w:t>»</w:t>
      </w:r>
    </w:p>
    <w:p w:rsidR="00EF44CE" w:rsidRDefault="00EF44CE" w:rsidP="002F5E76">
      <w:pPr>
        <w:ind w:firstLine="567"/>
        <w:outlineLvl w:val="0"/>
        <w:rPr>
          <w:b/>
          <w:i/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C63E01" w:rsidRDefault="00C63E01" w:rsidP="00C63E01"/>
    <w:p w:rsidR="00C63E01" w:rsidRPr="00C63E01" w:rsidRDefault="00C63E01" w:rsidP="00C63E01"/>
    <w:p w:rsidR="00EF44CE" w:rsidRDefault="00EF44CE" w:rsidP="00EF44CE">
      <w:pPr>
        <w:numPr>
          <w:ilvl w:val="1"/>
          <w:numId w:val="3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</w:r>
      <w:r w:rsidR="004F09A0">
        <w:rPr>
          <w:sz w:val="28"/>
          <w:szCs w:val="28"/>
        </w:rPr>
        <w:t>открытому</w:t>
      </w:r>
      <w:r w:rsidR="00B33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конкурсу </w:t>
      </w:r>
      <w:r>
        <w:rPr>
          <w:iCs/>
          <w:sz w:val="28"/>
          <w:szCs w:val="28"/>
        </w:rPr>
        <w:t>№ </w:t>
      </w:r>
      <w:r w:rsidR="003D7F8C">
        <w:rPr>
          <w:iCs/>
          <w:sz w:val="28"/>
          <w:szCs w:val="28"/>
        </w:rPr>
        <w:t>020</w:t>
      </w:r>
      <w:r w:rsidR="00B3390A" w:rsidRPr="00A13030">
        <w:rPr>
          <w:rFonts w:eastAsia="MS Mincho"/>
          <w:sz w:val="28"/>
          <w:szCs w:val="28"/>
        </w:rPr>
        <w:t>/</w:t>
      </w:r>
      <w:r w:rsidR="004F09A0">
        <w:rPr>
          <w:rFonts w:eastAsia="MS Mincho"/>
          <w:sz w:val="28"/>
          <w:szCs w:val="28"/>
        </w:rPr>
        <w:t>Т</w:t>
      </w:r>
      <w:r w:rsidR="00B3390A" w:rsidRPr="00A13030">
        <w:rPr>
          <w:rFonts w:eastAsia="MS Mincho"/>
          <w:sz w:val="28"/>
          <w:szCs w:val="28"/>
        </w:rPr>
        <w:t>ВР</w:t>
      </w:r>
      <w:r w:rsidR="004F09A0">
        <w:rPr>
          <w:rFonts w:eastAsia="MS Mincho"/>
          <w:sz w:val="28"/>
          <w:szCs w:val="28"/>
        </w:rPr>
        <w:t>З</w:t>
      </w:r>
      <w:r w:rsidR="00B3390A" w:rsidRPr="00A13030">
        <w:rPr>
          <w:rFonts w:eastAsia="MS Mincho"/>
          <w:sz w:val="28"/>
          <w:szCs w:val="28"/>
        </w:rPr>
        <w:t>/201</w:t>
      </w:r>
      <w:r w:rsidR="004F09A0">
        <w:rPr>
          <w:rFonts w:eastAsia="MS Mincho"/>
          <w:sz w:val="28"/>
          <w:szCs w:val="28"/>
        </w:rPr>
        <w:t>6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EF44CE" w:rsidRDefault="00EF44CE" w:rsidP="00EF44CE">
      <w:pPr>
        <w:pStyle w:val="a3"/>
        <w:numPr>
          <w:ilvl w:val="1"/>
          <w:numId w:val="3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F44CE" w:rsidRDefault="00EF44CE" w:rsidP="00EF44CE">
      <w:pPr>
        <w:ind w:firstLine="708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C63E01" w:rsidRDefault="00C63E01" w:rsidP="00EF44CE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098"/>
      </w:tblGrid>
      <w:tr w:rsidR="004F09A0" w:rsidRPr="00F6719F" w:rsidTr="0055266E">
        <w:trPr>
          <w:trHeight w:val="285"/>
        </w:trPr>
        <w:tc>
          <w:tcPr>
            <w:tcW w:w="1641" w:type="dxa"/>
          </w:tcPr>
          <w:p w:rsidR="004F09A0" w:rsidRPr="00F6719F" w:rsidRDefault="004F09A0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>Порядковый номер заявки по лоту</w:t>
            </w:r>
          </w:p>
        </w:tc>
        <w:tc>
          <w:tcPr>
            <w:tcW w:w="3800" w:type="dxa"/>
          </w:tcPr>
          <w:p w:rsidR="004F09A0" w:rsidRPr="00F6719F" w:rsidRDefault="004F09A0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4F09A0" w:rsidRPr="00F6719F" w:rsidRDefault="004F09A0" w:rsidP="00845A7B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Балльная оценка заявки, представленной участником по лоту</w:t>
            </w:r>
          </w:p>
        </w:tc>
      </w:tr>
      <w:tr w:rsidR="004F09A0" w:rsidRPr="00F6719F" w:rsidTr="0055266E">
        <w:trPr>
          <w:trHeight w:val="411"/>
        </w:trPr>
        <w:tc>
          <w:tcPr>
            <w:tcW w:w="1641" w:type="dxa"/>
          </w:tcPr>
          <w:p w:rsidR="004F09A0" w:rsidRDefault="004F09A0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4F09A0" w:rsidRPr="00F6719F" w:rsidRDefault="004F09A0" w:rsidP="00FB762E">
            <w:pPr>
              <w:tabs>
                <w:tab w:val="left" w:pos="4860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ООО «</w:t>
            </w:r>
            <w:r w:rsidR="00FB762E">
              <w:rPr>
                <w:sz w:val="28"/>
                <w:szCs w:val="28"/>
              </w:rPr>
              <w:t>ТАГАТ Автоматика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F09A0" w:rsidRPr="0055266E" w:rsidRDefault="00FB762E" w:rsidP="00062529">
            <w:pPr>
              <w:tabs>
                <w:tab w:val="left" w:pos="4860"/>
              </w:tabs>
              <w:jc w:val="center"/>
            </w:pPr>
            <w:r>
              <w:t>94,00</w:t>
            </w:r>
          </w:p>
        </w:tc>
      </w:tr>
      <w:tr w:rsidR="004F09A0" w:rsidRPr="00F6719F" w:rsidTr="0055266E">
        <w:trPr>
          <w:trHeight w:val="503"/>
        </w:trPr>
        <w:tc>
          <w:tcPr>
            <w:tcW w:w="1641" w:type="dxa"/>
          </w:tcPr>
          <w:p w:rsidR="004F09A0" w:rsidRDefault="004F09A0" w:rsidP="00845A7B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4F09A0" w:rsidRPr="00C271CD" w:rsidRDefault="00FB762E" w:rsidP="00863BC8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proofErr w:type="gramStart"/>
            <w:r>
              <w:rPr>
                <w:sz w:val="28"/>
                <w:szCs w:val="28"/>
              </w:rPr>
              <w:t>Инком-Торг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F09A0" w:rsidRPr="0055266E" w:rsidRDefault="00FB762E" w:rsidP="0055266E">
            <w:pPr>
              <w:tabs>
                <w:tab w:val="left" w:pos="4860"/>
              </w:tabs>
              <w:jc w:val="center"/>
            </w:pPr>
            <w:r>
              <w:t>92,00</w:t>
            </w:r>
          </w:p>
        </w:tc>
      </w:tr>
    </w:tbl>
    <w:p w:rsidR="00C63E01" w:rsidRDefault="00C63E01" w:rsidP="00EF44CE">
      <w:pPr>
        <w:pStyle w:val="1"/>
        <w:tabs>
          <w:tab w:val="left" w:pos="720"/>
        </w:tabs>
        <w:jc w:val="center"/>
      </w:pPr>
    </w:p>
    <w:p w:rsidR="00C63E01" w:rsidRDefault="00C63E01" w:rsidP="00EF44CE">
      <w:pPr>
        <w:pStyle w:val="1"/>
        <w:tabs>
          <w:tab w:val="left" w:pos="720"/>
        </w:tabs>
        <w:jc w:val="center"/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C63E01" w:rsidRDefault="00C63E01" w:rsidP="00C63E01"/>
    <w:p w:rsidR="00C63E01" w:rsidRPr="00C63E01" w:rsidRDefault="00C63E01" w:rsidP="00C63E01"/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конкурсных заявок участников </w:t>
      </w:r>
      <w:r w:rsidR="00863BC8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№</w:t>
      </w:r>
      <w:r w:rsidR="001759E9">
        <w:rPr>
          <w:sz w:val="28"/>
          <w:szCs w:val="28"/>
        </w:rPr>
        <w:t xml:space="preserve"> </w:t>
      </w:r>
      <w:r w:rsidR="00D2095A">
        <w:rPr>
          <w:sz w:val="28"/>
          <w:szCs w:val="28"/>
        </w:rPr>
        <w:t>020</w:t>
      </w:r>
      <w:r w:rsidR="00863BC8">
        <w:rPr>
          <w:sz w:val="28"/>
          <w:szCs w:val="28"/>
        </w:rPr>
        <w:t>/Т</w:t>
      </w:r>
      <w:r w:rsidR="001759E9" w:rsidRPr="00A13030">
        <w:rPr>
          <w:rFonts w:eastAsia="MS Mincho"/>
          <w:sz w:val="28"/>
          <w:szCs w:val="28"/>
        </w:rPr>
        <w:t>ВР</w:t>
      </w:r>
      <w:r w:rsidR="00863BC8">
        <w:rPr>
          <w:rFonts w:eastAsia="MS Mincho"/>
          <w:sz w:val="28"/>
          <w:szCs w:val="28"/>
        </w:rPr>
        <w:t>З</w:t>
      </w:r>
      <w:r w:rsidR="001759E9" w:rsidRPr="00A13030">
        <w:rPr>
          <w:rFonts w:eastAsia="MS Mincho"/>
          <w:sz w:val="28"/>
          <w:szCs w:val="28"/>
        </w:rPr>
        <w:t>/201</w:t>
      </w:r>
      <w:r w:rsidR="00863BC8">
        <w:rPr>
          <w:rFonts w:eastAsia="MS Mincho"/>
          <w:sz w:val="28"/>
          <w:szCs w:val="28"/>
        </w:rPr>
        <w:t>6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</w:t>
      </w:r>
      <w:r w:rsidR="00863BC8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 следующие предложения:</w:t>
      </w:r>
    </w:p>
    <w:p w:rsidR="009A32A5" w:rsidRDefault="00EF44CE" w:rsidP="009A32A5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Признать победителем </w:t>
      </w:r>
      <w:r w:rsidR="00863BC8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конкурса № </w:t>
      </w:r>
      <w:r w:rsidR="00D2095A">
        <w:rPr>
          <w:sz w:val="28"/>
          <w:szCs w:val="28"/>
        </w:rPr>
        <w:t>020</w:t>
      </w:r>
      <w:r w:rsidR="00863BC8">
        <w:rPr>
          <w:sz w:val="28"/>
          <w:szCs w:val="28"/>
        </w:rPr>
        <w:t>/Т</w:t>
      </w:r>
      <w:r w:rsidR="00863BC8">
        <w:rPr>
          <w:rFonts w:eastAsia="MS Mincho"/>
          <w:sz w:val="28"/>
          <w:szCs w:val="28"/>
        </w:rPr>
        <w:t>ВРЗ</w:t>
      </w:r>
      <w:r w:rsidR="00411966" w:rsidRPr="00A13030">
        <w:rPr>
          <w:rFonts w:eastAsia="MS Mincho"/>
          <w:sz w:val="28"/>
          <w:szCs w:val="28"/>
        </w:rPr>
        <w:t>/201</w:t>
      </w:r>
      <w:r w:rsidR="00863BC8">
        <w:rPr>
          <w:rFonts w:eastAsia="MS Mincho"/>
          <w:sz w:val="28"/>
          <w:szCs w:val="28"/>
        </w:rPr>
        <w:t>6</w:t>
      </w:r>
      <w:r w:rsidR="00E25F5A"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D2095A">
        <w:rPr>
          <w:sz w:val="28"/>
          <w:szCs w:val="28"/>
        </w:rPr>
        <w:t>ТАГАТ Автоматика</w:t>
      </w:r>
      <w:r>
        <w:rPr>
          <w:sz w:val="28"/>
          <w:szCs w:val="28"/>
        </w:rPr>
        <w:t>»</w:t>
      </w:r>
      <w:r w:rsidR="0023503A">
        <w:rPr>
          <w:sz w:val="28"/>
          <w:szCs w:val="28"/>
        </w:rPr>
        <w:t>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</w:t>
      </w:r>
      <w:r w:rsidR="009A32A5">
        <w:rPr>
          <w:sz w:val="28"/>
          <w:szCs w:val="28"/>
        </w:rPr>
        <w:t xml:space="preserve">со стоимостью предложения </w:t>
      </w:r>
      <w:r w:rsidR="00D2095A">
        <w:rPr>
          <w:sz w:val="28"/>
          <w:szCs w:val="28"/>
        </w:rPr>
        <w:t>737</w:t>
      </w:r>
      <w:r w:rsidR="001830F0">
        <w:rPr>
          <w:sz w:val="28"/>
          <w:szCs w:val="28"/>
        </w:rPr>
        <w:t xml:space="preserve"> </w:t>
      </w:r>
      <w:r w:rsidR="00D2095A">
        <w:rPr>
          <w:sz w:val="28"/>
          <w:szCs w:val="28"/>
        </w:rPr>
        <w:t>288</w:t>
      </w:r>
      <w:r w:rsidR="001830F0">
        <w:rPr>
          <w:sz w:val="28"/>
          <w:szCs w:val="28"/>
        </w:rPr>
        <w:t>,</w:t>
      </w:r>
      <w:r w:rsidR="00D2095A">
        <w:rPr>
          <w:sz w:val="28"/>
          <w:szCs w:val="28"/>
        </w:rPr>
        <w:t xml:space="preserve"> 14</w:t>
      </w:r>
      <w:r w:rsidR="002F5E76">
        <w:rPr>
          <w:sz w:val="28"/>
          <w:szCs w:val="28"/>
        </w:rPr>
        <w:t xml:space="preserve"> (</w:t>
      </w:r>
      <w:r w:rsidR="000C0CEB">
        <w:rPr>
          <w:sz w:val="28"/>
          <w:szCs w:val="28"/>
        </w:rPr>
        <w:t xml:space="preserve">семьсот тридцать </w:t>
      </w:r>
      <w:r w:rsidR="002F5E76">
        <w:rPr>
          <w:sz w:val="28"/>
          <w:szCs w:val="28"/>
        </w:rPr>
        <w:t xml:space="preserve"> </w:t>
      </w:r>
      <w:r w:rsidR="000C0CEB">
        <w:rPr>
          <w:sz w:val="28"/>
          <w:szCs w:val="28"/>
        </w:rPr>
        <w:t xml:space="preserve">семь </w:t>
      </w:r>
      <w:r w:rsidR="002F5E76">
        <w:rPr>
          <w:sz w:val="28"/>
          <w:szCs w:val="28"/>
        </w:rPr>
        <w:t xml:space="preserve">тысяч </w:t>
      </w:r>
      <w:r w:rsidR="00C63E01">
        <w:rPr>
          <w:sz w:val="28"/>
          <w:szCs w:val="28"/>
        </w:rPr>
        <w:t>двести восемьдесят восемь</w:t>
      </w:r>
      <w:r w:rsidR="001830F0">
        <w:rPr>
          <w:sz w:val="28"/>
          <w:szCs w:val="28"/>
        </w:rPr>
        <w:t>)</w:t>
      </w:r>
      <w:r w:rsidR="002F5E76">
        <w:rPr>
          <w:sz w:val="28"/>
          <w:szCs w:val="28"/>
        </w:rPr>
        <w:t xml:space="preserve"> рубл</w:t>
      </w:r>
      <w:r w:rsidR="001830F0">
        <w:rPr>
          <w:sz w:val="28"/>
          <w:szCs w:val="28"/>
        </w:rPr>
        <w:t>ей</w:t>
      </w:r>
      <w:r w:rsidR="002F5E76">
        <w:rPr>
          <w:sz w:val="28"/>
          <w:szCs w:val="28"/>
        </w:rPr>
        <w:t xml:space="preserve"> </w:t>
      </w:r>
      <w:r w:rsidR="00C63E01">
        <w:rPr>
          <w:sz w:val="28"/>
          <w:szCs w:val="28"/>
        </w:rPr>
        <w:t xml:space="preserve">14 </w:t>
      </w:r>
      <w:r w:rsidR="002F5E76">
        <w:rPr>
          <w:sz w:val="28"/>
          <w:szCs w:val="28"/>
        </w:rPr>
        <w:t>коп.</w:t>
      </w:r>
      <w:r w:rsidR="009A32A5">
        <w:rPr>
          <w:sz w:val="28"/>
          <w:szCs w:val="28"/>
        </w:rPr>
        <w:t xml:space="preserve"> без</w:t>
      </w:r>
      <w:r w:rsidR="002F5E76">
        <w:rPr>
          <w:sz w:val="28"/>
          <w:szCs w:val="28"/>
        </w:rPr>
        <w:t xml:space="preserve"> учета</w:t>
      </w:r>
      <w:r w:rsidR="009A32A5">
        <w:rPr>
          <w:sz w:val="28"/>
          <w:szCs w:val="28"/>
        </w:rPr>
        <w:t xml:space="preserve"> НДС</w:t>
      </w:r>
      <w:r w:rsidR="002F5E76">
        <w:rPr>
          <w:sz w:val="28"/>
          <w:szCs w:val="28"/>
        </w:rPr>
        <w:t>.</w:t>
      </w:r>
      <w:r w:rsidR="00601871">
        <w:rPr>
          <w:sz w:val="28"/>
          <w:szCs w:val="28"/>
        </w:rPr>
        <w:t xml:space="preserve">, </w:t>
      </w:r>
      <w:r w:rsidR="00C63E01">
        <w:rPr>
          <w:sz w:val="28"/>
          <w:szCs w:val="28"/>
        </w:rPr>
        <w:t>870</w:t>
      </w:r>
      <w:r w:rsidR="00C77F7F">
        <w:rPr>
          <w:sz w:val="28"/>
          <w:szCs w:val="28"/>
        </w:rPr>
        <w:t> </w:t>
      </w:r>
      <w:r w:rsidR="00601871">
        <w:rPr>
          <w:sz w:val="28"/>
          <w:szCs w:val="28"/>
        </w:rPr>
        <w:t>000</w:t>
      </w:r>
      <w:r w:rsidR="00C77F7F">
        <w:rPr>
          <w:sz w:val="28"/>
          <w:szCs w:val="28"/>
        </w:rPr>
        <w:t>,00</w:t>
      </w:r>
      <w:r w:rsidR="00601871">
        <w:rPr>
          <w:sz w:val="28"/>
          <w:szCs w:val="28"/>
        </w:rPr>
        <w:t xml:space="preserve"> (</w:t>
      </w:r>
      <w:r w:rsidR="00C63E01">
        <w:rPr>
          <w:sz w:val="28"/>
          <w:szCs w:val="28"/>
        </w:rPr>
        <w:t>восемьсот семьдесят</w:t>
      </w:r>
      <w:r w:rsidR="00601871">
        <w:rPr>
          <w:sz w:val="28"/>
          <w:szCs w:val="28"/>
        </w:rPr>
        <w:t xml:space="preserve"> тысяч</w:t>
      </w:r>
      <w:r w:rsidR="00C77F7F">
        <w:rPr>
          <w:sz w:val="28"/>
          <w:szCs w:val="28"/>
        </w:rPr>
        <w:t>)</w:t>
      </w:r>
      <w:r w:rsidR="00601871">
        <w:rPr>
          <w:sz w:val="28"/>
          <w:szCs w:val="28"/>
        </w:rPr>
        <w:t xml:space="preserve"> рублей 00 коп</w:t>
      </w:r>
      <w:proofErr w:type="gramStart"/>
      <w:r w:rsidR="00601871">
        <w:rPr>
          <w:sz w:val="28"/>
          <w:szCs w:val="28"/>
        </w:rPr>
        <w:t>.</w:t>
      </w:r>
      <w:proofErr w:type="gramEnd"/>
      <w:r w:rsidR="00601871">
        <w:rPr>
          <w:sz w:val="28"/>
          <w:szCs w:val="28"/>
        </w:rPr>
        <w:t xml:space="preserve"> </w:t>
      </w:r>
      <w:proofErr w:type="gramStart"/>
      <w:r w:rsidR="00601871">
        <w:rPr>
          <w:sz w:val="28"/>
          <w:szCs w:val="28"/>
        </w:rPr>
        <w:t>с</w:t>
      </w:r>
      <w:proofErr w:type="gramEnd"/>
      <w:r w:rsidR="00601871">
        <w:rPr>
          <w:sz w:val="28"/>
          <w:szCs w:val="28"/>
        </w:rPr>
        <w:t xml:space="preserve"> учетом НДС</w:t>
      </w:r>
      <w:r w:rsidR="00C77F7F">
        <w:rPr>
          <w:sz w:val="28"/>
          <w:szCs w:val="28"/>
        </w:rPr>
        <w:t>.</w:t>
      </w:r>
    </w:p>
    <w:p w:rsidR="009944DF" w:rsidRDefault="009944DF" w:rsidP="002F5E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5E76">
        <w:rPr>
          <w:sz w:val="28"/>
          <w:szCs w:val="28"/>
        </w:rPr>
        <w:t>2</w:t>
      </w:r>
      <w:r>
        <w:rPr>
          <w:sz w:val="28"/>
          <w:szCs w:val="28"/>
        </w:rPr>
        <w:t xml:space="preserve">. Поручить </w:t>
      </w:r>
      <w:r w:rsidR="002F5E76">
        <w:rPr>
          <w:sz w:val="28"/>
          <w:szCs w:val="28"/>
        </w:rPr>
        <w:t xml:space="preserve">начальнику ЭМО – главному энергетику С.В. Узких в установленном </w:t>
      </w:r>
      <w:r>
        <w:rPr>
          <w:sz w:val="28"/>
          <w:szCs w:val="28"/>
        </w:rPr>
        <w:t>порядке обеспечить</w:t>
      </w:r>
      <w:r w:rsidR="00170E1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="00170E1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170E17">
        <w:rPr>
          <w:sz w:val="28"/>
          <w:szCs w:val="28"/>
        </w:rPr>
        <w:t xml:space="preserve"> </w:t>
      </w:r>
      <w:r>
        <w:rPr>
          <w:sz w:val="28"/>
          <w:szCs w:val="28"/>
        </w:rPr>
        <w:t>с ООО «</w:t>
      </w:r>
      <w:r w:rsidR="00C63E01">
        <w:rPr>
          <w:sz w:val="28"/>
          <w:szCs w:val="28"/>
        </w:rPr>
        <w:t>ТАГАТ Автоматика</w:t>
      </w:r>
      <w:r>
        <w:rPr>
          <w:sz w:val="28"/>
          <w:szCs w:val="28"/>
        </w:rPr>
        <w:t>».</w:t>
      </w:r>
    </w:p>
    <w:p w:rsidR="00474BFD" w:rsidRDefault="00474BFD" w:rsidP="002F5E76">
      <w:pPr>
        <w:ind w:firstLine="567"/>
        <w:jc w:val="both"/>
        <w:rPr>
          <w:sz w:val="28"/>
          <w:szCs w:val="28"/>
        </w:rPr>
      </w:pPr>
    </w:p>
    <w:p w:rsidR="00EF44CE" w:rsidRDefault="00EF44CE" w:rsidP="009944DF">
      <w:pPr>
        <w:spacing w:line="300" w:lineRule="exact"/>
        <w:ind w:firstLine="709"/>
        <w:jc w:val="both"/>
        <w:rPr>
          <w:sz w:val="28"/>
          <w:szCs w:val="28"/>
        </w:rPr>
      </w:pPr>
    </w:p>
    <w:p w:rsidR="00EF44CE" w:rsidRDefault="00474BFD" w:rsidP="00EF44CE">
      <w:pPr>
        <w:spacing w:line="300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sectPr w:rsidR="00EF44CE" w:rsidSect="00C63E0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A6" w:rsidRDefault="00842FA6" w:rsidP="006B626F">
      <w:r>
        <w:separator/>
      </w:r>
    </w:p>
  </w:endnote>
  <w:endnote w:type="continuationSeparator" w:id="0">
    <w:p w:rsidR="00842FA6" w:rsidRDefault="00842FA6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A6" w:rsidRDefault="00842FA6" w:rsidP="006B626F">
      <w:r>
        <w:separator/>
      </w:r>
    </w:p>
  </w:footnote>
  <w:footnote w:type="continuationSeparator" w:id="0">
    <w:p w:rsidR="00842FA6" w:rsidRDefault="00842FA6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22442"/>
    <w:rsid w:val="000401A7"/>
    <w:rsid w:val="00062529"/>
    <w:rsid w:val="00094082"/>
    <w:rsid w:val="000A2AAC"/>
    <w:rsid w:val="000C0CEB"/>
    <w:rsid w:val="000E05DC"/>
    <w:rsid w:val="000F24CA"/>
    <w:rsid w:val="000F2F62"/>
    <w:rsid w:val="00101F9D"/>
    <w:rsid w:val="0011320B"/>
    <w:rsid w:val="00124F36"/>
    <w:rsid w:val="00147944"/>
    <w:rsid w:val="00157E98"/>
    <w:rsid w:val="001631E4"/>
    <w:rsid w:val="00170E17"/>
    <w:rsid w:val="001759E9"/>
    <w:rsid w:val="001830F0"/>
    <w:rsid w:val="001A7FD6"/>
    <w:rsid w:val="001D17B9"/>
    <w:rsid w:val="001D4FC7"/>
    <w:rsid w:val="001F5E1C"/>
    <w:rsid w:val="00230AD5"/>
    <w:rsid w:val="0023503A"/>
    <w:rsid w:val="002A1AD1"/>
    <w:rsid w:val="002A1C4A"/>
    <w:rsid w:val="002F5E76"/>
    <w:rsid w:val="00323B60"/>
    <w:rsid w:val="0034613B"/>
    <w:rsid w:val="003602D3"/>
    <w:rsid w:val="003D7F8C"/>
    <w:rsid w:val="00402F18"/>
    <w:rsid w:val="004051B3"/>
    <w:rsid w:val="00411966"/>
    <w:rsid w:val="00415279"/>
    <w:rsid w:val="004563CB"/>
    <w:rsid w:val="004567D6"/>
    <w:rsid w:val="00474BFD"/>
    <w:rsid w:val="00485EC9"/>
    <w:rsid w:val="00495A7D"/>
    <w:rsid w:val="004F09A0"/>
    <w:rsid w:val="004F2BB7"/>
    <w:rsid w:val="00510BE0"/>
    <w:rsid w:val="00515378"/>
    <w:rsid w:val="0053657F"/>
    <w:rsid w:val="0055266E"/>
    <w:rsid w:val="00601871"/>
    <w:rsid w:val="006116D5"/>
    <w:rsid w:val="006205DE"/>
    <w:rsid w:val="00635D54"/>
    <w:rsid w:val="00664B27"/>
    <w:rsid w:val="0067734D"/>
    <w:rsid w:val="006B626F"/>
    <w:rsid w:val="006B6739"/>
    <w:rsid w:val="007C6763"/>
    <w:rsid w:val="00811245"/>
    <w:rsid w:val="00815B54"/>
    <w:rsid w:val="00821955"/>
    <w:rsid w:val="00842FA6"/>
    <w:rsid w:val="00863BC8"/>
    <w:rsid w:val="0089295D"/>
    <w:rsid w:val="009051B1"/>
    <w:rsid w:val="00916FA4"/>
    <w:rsid w:val="00921DDB"/>
    <w:rsid w:val="00922608"/>
    <w:rsid w:val="0093203E"/>
    <w:rsid w:val="0094494E"/>
    <w:rsid w:val="0099448C"/>
    <w:rsid w:val="009944DF"/>
    <w:rsid w:val="009951EB"/>
    <w:rsid w:val="009A32A5"/>
    <w:rsid w:val="009E0EDD"/>
    <w:rsid w:val="00A0375D"/>
    <w:rsid w:val="00A13030"/>
    <w:rsid w:val="00A130AC"/>
    <w:rsid w:val="00A42D65"/>
    <w:rsid w:val="00A5487F"/>
    <w:rsid w:val="00A62F9D"/>
    <w:rsid w:val="00B237EF"/>
    <w:rsid w:val="00B3390A"/>
    <w:rsid w:val="00B41A1B"/>
    <w:rsid w:val="00B53254"/>
    <w:rsid w:val="00B94228"/>
    <w:rsid w:val="00BA4769"/>
    <w:rsid w:val="00BC7A62"/>
    <w:rsid w:val="00C0376E"/>
    <w:rsid w:val="00C15AFB"/>
    <w:rsid w:val="00C271CD"/>
    <w:rsid w:val="00C276D7"/>
    <w:rsid w:val="00C60B00"/>
    <w:rsid w:val="00C63E01"/>
    <w:rsid w:val="00C77F7F"/>
    <w:rsid w:val="00C97130"/>
    <w:rsid w:val="00CF5E88"/>
    <w:rsid w:val="00D2095A"/>
    <w:rsid w:val="00D214F4"/>
    <w:rsid w:val="00D21E5E"/>
    <w:rsid w:val="00D267F9"/>
    <w:rsid w:val="00D27B6A"/>
    <w:rsid w:val="00DF2DB9"/>
    <w:rsid w:val="00E040A8"/>
    <w:rsid w:val="00E052A7"/>
    <w:rsid w:val="00E25F5A"/>
    <w:rsid w:val="00E33C32"/>
    <w:rsid w:val="00E708BB"/>
    <w:rsid w:val="00E75B9A"/>
    <w:rsid w:val="00E85BEB"/>
    <w:rsid w:val="00EB5B49"/>
    <w:rsid w:val="00EB7597"/>
    <w:rsid w:val="00EE6BAD"/>
    <w:rsid w:val="00EF44CE"/>
    <w:rsid w:val="00F031B7"/>
    <w:rsid w:val="00F53090"/>
    <w:rsid w:val="00F91E0C"/>
    <w:rsid w:val="00FB762E"/>
    <w:rsid w:val="00FD1BB5"/>
    <w:rsid w:val="00FF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6</cp:revision>
  <cp:lastPrinted>2016-04-13T06:34:00Z</cp:lastPrinted>
  <dcterms:created xsi:type="dcterms:W3CDTF">2016-04-18T08:28:00Z</dcterms:created>
  <dcterms:modified xsi:type="dcterms:W3CDTF">2016-04-18T08:48:00Z</dcterms:modified>
</cp:coreProperties>
</file>